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314" w:type="dxa"/>
        <w:tblLayout w:type="fixed"/>
        <w:tblLook w:val="01E0"/>
      </w:tblPr>
      <w:tblGrid>
        <w:gridCol w:w="2494"/>
        <w:gridCol w:w="1133"/>
        <w:gridCol w:w="3400"/>
        <w:gridCol w:w="1587"/>
        <w:gridCol w:w="1700"/>
      </w:tblGrid>
      <w:tr w:rsidR="00B53C0D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B53C0D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rPr>
                <w:color w:val="000000"/>
                <w:sz w:val="28"/>
                <w:szCs w:val="28"/>
              </w:rPr>
            </w:pPr>
          </w:p>
        </w:tc>
      </w:tr>
      <w:tr w:rsidR="00B53C0D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B53C0D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B53C0D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533"/>
            </w:tblGrid>
            <w:tr w:rsidR="00B53C0D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340D1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2024 г.</w:t>
                  </w: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01.01.2024</w:t>
            </w:r>
          </w:p>
        </w:tc>
      </w:tr>
      <w:tr w:rsidR="00B53C0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B53C0D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340D1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ГРБС</w:t>
                  </w: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</w:tr>
      <w:tr w:rsidR="00B53C0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</w:pPr>
          </w:p>
        </w:tc>
      </w:tr>
      <w:tr w:rsidR="00B53C0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02202713</w:t>
            </w:r>
          </w:p>
        </w:tc>
      </w:tr>
      <w:tr w:rsidR="00B53C0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</w:t>
            </w:r>
            <w:r>
              <w:rPr>
                <w:color w:val="000000"/>
                <w:sz w:val="28"/>
                <w:szCs w:val="28"/>
              </w:rPr>
              <w:t xml:space="preserve">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  <w:jc w:val="center"/>
            </w:pPr>
          </w:p>
        </w:tc>
      </w:tr>
      <w:tr w:rsidR="00B53C0D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  <w:jc w:val="center"/>
            </w:pPr>
          </w:p>
        </w:tc>
      </w:tr>
      <w:tr w:rsidR="00B53C0D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КУЛЬТУРЫ АДМИНИСТРАЦИИ ГОРОДСКОГО ОКРУГА ТОЛЬЯТТИ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</w:t>
            </w:r>
          </w:p>
        </w:tc>
      </w:tr>
      <w:tr w:rsidR="00B53C0D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Бюджет городского округа г.Тольятти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  <w:jc w:val="center"/>
            </w:pPr>
          </w:p>
        </w:tc>
      </w:tr>
      <w:tr w:rsidR="00B53C0D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B53C0D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340D1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36740000</w:t>
                  </w: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</w:tr>
      <w:tr w:rsidR="00B53C0D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27"/>
            </w:tblGrid>
            <w:tr w:rsidR="00B53C0D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340D15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spacing w:line="1" w:lineRule="auto"/>
              <w:jc w:val="center"/>
            </w:pPr>
          </w:p>
        </w:tc>
      </w:tr>
      <w:tr w:rsidR="00B53C0D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B53C0D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27"/>
            </w:tblGrid>
            <w:tr w:rsidR="00B53C0D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340D15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B53C0D" w:rsidRDefault="00B53C0D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/>
      </w:tblPr>
      <w:tblGrid>
        <w:gridCol w:w="2494"/>
        <w:gridCol w:w="1133"/>
        <w:gridCol w:w="566"/>
        <w:gridCol w:w="2834"/>
        <w:gridCol w:w="1587"/>
        <w:gridCol w:w="1700"/>
      </w:tblGrid>
      <w:tr w:rsidR="00B53C0D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</w:tr>
      <w:tr w:rsidR="00B53C0D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"Организационная структура субъекта бюджетной отчетности"</w:t>
            </w:r>
          </w:p>
          <w:p w:rsidR="00B53C0D" w:rsidRDefault="00B53C0D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B53C0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10314"/>
                  </w:tblGrid>
                  <w:tr w:rsidR="00B53C0D">
                    <w:tc>
                      <w:tcPr>
                        <w:tcW w:w="103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3C0D" w:rsidRDefault="00340D15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Раздел 1 "Организационная структура субъекта бюджетной отчетности"</w:t>
                        </w:r>
                      </w:p>
                      <w:p w:rsidR="00B53C0D" w:rsidRDefault="00B53C0D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10314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0314"/>
                        </w:tblGrid>
                        <w:tr w:rsidR="00B53C0D">
                          <w:tc>
                            <w:tcPr>
                              <w:tcW w:w="10314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400" w:type="dxa"/>
                              </w:tcMar>
                            </w:tcPr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Департамент культуры администрации городского округа Тольятти является структурным подразделением администрации городского округа Тольятти ИНН 6320001741 КПП 632431006. Юридический адрес: 445011 г. Тольятти,  площадь Свободы, дом 4.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Департамент культуры н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е является юридическим лицом, имеет обособленный баланс, лицевые счета открыты в Департаменте финансов и Федеральном казначействе, может от имени администрации приобретать имущественные и неимущественные права. 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Право первой подписи имеют: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Козлова М.А. -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 руководитель департамента,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Козлова Н.И. - заместитель руководителя - руководитель управления образования, культуры и искусства.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Право второй подписи имеют: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Русакова Н.В. - начальник финансово-экономического отдела;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Кохан Н.А. - главный специалист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финансово-экономического отдела;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Невзорова Е.В. - главный специалист финансово-экономического отдела (с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06.09.2023 г.).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Бюджетный учет в учреждении осуществляется в соответствии с приказом Минфина России от 06.12.2010 г. № 162н «Об утверждении Плана счетов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бюджетного учета и Инструкции по его применению». Для отражения хозяйственных операций используется приказ  Минфина России от 01.12.2010 г. №157н «Об утверждении Единого плана счетов бухгалтерского учета для органов государственной власти (государственных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Приказом департамента культуры администрации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городского округа Тольятти от 30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.12.2022 г. № 50-пк-3.3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«Об утверждении Положения об учетной политике департамента культуры администрации городского округа Тольятти» утверждено Положение об учетной политике департамента культуры.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Бюджетная отчетность сост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авлена в соответствии с приказом Минфина России от 28.12.2010 года №191н «Об утверждении Инструкции о порядке составления и представления  годовой, квартальной и месячной отчетности об исполнении бюджетов бюджетной системы Российской Федерации».  Состав бю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джетных полномочий получателей, распорядителей бюджетных средств, находящихся   в ведении главного распорядителя бюджетных средств, а так же администраторов, находящихся в ведении главного администратора доходов бюджета не изменился.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Ведение бюджетного уч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ета в департаменте культуры в 2023 г. осуществлялось  с использованием программы ПП «Парус-Бюджет 8». 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Департамент культуры является администратором поступлений в бюджет городского округа Тольятти по доходам: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912 2 02 29999 04 0000 150   - Прочие субсидии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бюджетам городских округов;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912 2 02 25517 04 0000 150   - Субсидии бюджетам городских округов на поддержку творческой деятельности и техническое оснащение детских и кукольных театров;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912 2 02 25519 04 0000 150   - Субсидии бюджетам городских округов н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 поддержку отрасли культуры;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912 2 02 25590 04 0000 150   - Субсидии бюджетам городских округов на техническое оснащение муниципальных музеев;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912 2 02 25353 04 0000 150   - Субсидии бюджетам городских округов на создание школ креативных индустрий;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912 2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02 25584 04 0000 150   - Субсидии бюджетам городских округов на оснащение региональных и муниципальных театров;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912 2 02 49999 04 0000 150 – Прочие межбюджетные трансферты, передаваемые бюджетам городских округов;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912 2 02 45453 04 0000 150 – Межбюджетные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трансферты, передаваемые бюджетам городских округов на создание виртуальных концертных залов;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912 2 02 45454 04 0000 150 – Межбюджетные трансферты, передаваемые бюджетам городских округов на создание модельных муниципальных библиотек.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912 2 19 60010 04 0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000 150 – Возврат прочих остатков субсидий, субвенций и иных межбюджетных трансфертов, имеющих целевое назначение, прошлых лет из бюджетов городских округов.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912 2 18 04010 04 0000 180 «Доходы бюджетов городских округов от возврата остатков субсидий прошл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ых лет бюджетными учреждениями»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912 1 17 15020 04 0000 150 «Инициативные платежи, зачисляемые в бюджеты городских округов»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912 1 16 07090 04 0000 150 "Иные штрафы, неустойки, пени, уплаченные в соответствии с законом или договором в случае неисполнения или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ненадлежащего исполнения обязательств перед городским округом"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912 1 13 02994 04 0000 130 «Прочие доходы от компенсации затрат городских округов»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Департаменту открыты лицевые счета: - в казначейском управлении департамента финансов № 029120000 и единый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казначейский счет 40102810545370000036 в  ОТДЕЛЕНИЕ САМАРА БАНКА РОССИИ//УФК по Самарской области г Самара БИК 013601205 : - администратора доходов № 04423010800.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Муниципальные бюджетные и автономные учреждения из бюджета городского округа Тольятти получа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ют субсидии на финансовое обеспечение   выполнения муниципального задания и субсидии в соответствии с абзацем вторым пункта 1 статьи 78.1 Бюджетного кодекса Российской Федерации. Субсидии муниципальным бюджетным и автономным учреждениям перечисляются Депар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таментом культуры на лицевые счета учреждений на основании Соглашений, заключенных между учреждениями и учредителем, в соответствии с графиком перечисления субсидий. 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Таблица № 1 «Сведения о направлениях деятельности» - деятельность не поменялась, таблица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не прилагается.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Основной целью деятельности департамента культуры является реализация государственной и муниципальной культурной политики на территории городского округа Тольятти, создание условий доступности, сохранение и развитие культуры и искусства на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территории городского округа Тольятти, направленных на повышение культурного уровня населения городского округа Тольятти.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 ведении ГРБС – департамента культуры, в 2023 году находилось 31 учреждение (автономные - 5, бюджетные - 26):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      - 1 учреждение в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ысшего образования –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МБОУ ВО "Тольяттинская консерватория";  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дминистрацией городского округа Тольятти принято решение о ликвидации муниципального бюджетного образовательного учреждения высшего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образования городского округа Тольятти «Тольяттинская консерва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тория» (постановление администрации городского округа Тольятти от 04.07.2022 №1389-п/1 «О ликвидации муниципального бюджетного образовательного учреждения высшего образования городского округа Тольятти «Тольяттинская консерватория»); дата ликвидации - 12.1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2.2023 г.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17     учреждений дополнительного образования,     в том числе:  МБУ ДО ДМШ № 3, МБУ ДО ДМШ     № 4 им.В.М.Свердлова, МБУ ДО ДШИ «Лицей     искусств» им. В.Н. Сафонова, МБУ ДО ДШИ «Гармония», МБУ     ДО ДШИ «Камертон», МБУ ДО ДШИ «Форте»,     МБУ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ДО ДШИ им. М.А. Балакирева,                           МБУ ДО     им. В.Г. Свиридова, МБУ ДО ДШИ  № 1, МБУ ДО "ДШИ Центрального     района", МБУ ДО ДХШ № 1, МБУ ДО ДХШ №     3, МБУ ДО ДХШ им. И.Е. Репина, МБУ ДО ДХШ     им. М. Шагала, МБУ ДО ДХШ им. М.М. П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лисецкой,     МБУ ДО ЦРТДЮ «Истоки», МБУ ДО  ДДК;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8     учреждений культуры, в том числе: дворцы     и дома культуры – МБУК г.о. Тольятти ДЦ     «Русич», музеи – МБУК ГМК «Наследие»,     МБУК ТКМ, МБУК ТХМ,  библиотеки –     МБУК ОДБ, МБУК г.о. Тольятти "Б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иблиотеки     Тольятти", театры и концертные     организации – МБУИ г.о. Тольятти «МДТ»,     МБУИ г.о. Тольятти "Тольяттинский     театр кукол";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5     муниципальных автономных учреждений,     в том числе: МАУ г.о. Тольятти ДТ «Колесо»     им. Г.Б. Дроздова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,  МАУ КДЦ «Буревестник»,       МАУ ТЮЗ «Дилижанс», МАУК ПКИТ     им. К.Г. Сахарова, МАУ г.о. Тольятти     «Культурный Центр «Автоград».   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Для подведения итогов работы и оценки результатов финансово-хозяйственной деятельности муниципальных учреждений, на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ходящихся в ведомственном подчинении департамента культуры в 2023 году приказом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департамента культуры от 07.02.2023 г. № 9-пк/3.3 «Об организации работы департамента культуры по подготовке к балансовой комиссии по итогам работы за 2022 год», утвержден сост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ав балансовой комиссии и проведено заседание балансовой комиссии 23 марта 2023 г. в режиме ВСК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в формате ZOOM. На заседаниях балансовой комиссии были заслушаны доклады руководителей учреждений находящихся в ведомственном подчинении департамента культуры, д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аны рекомендации о проведении работы по достижению учреждениями оценки эффективности использования муниципального имущества с формулировкой «Эффективное управление»,  осуществлять контроль над целевым  использованием ФОТ, осуществлять контроль над выполнен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ием показателей плана финансово-хозяйственной деятельности учреждения.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Для эффективной работы учреждений, находящихся в ведомственном подчинении, экономии бюджетных средств, целевого использования бюджетных средств проводится анализ месячной, квартальной 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годовой отчетности.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Количество работников финансово-экономической службы – 10 единиц.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Имущества на балансе департамента культуры нет.</w:t>
                              </w:r>
                            </w:p>
                          </w:tc>
                        </w:tr>
                      </w:tbl>
                      <w:p w:rsidR="00B53C0D" w:rsidRDefault="00B53C0D">
                        <w:pPr>
                          <w:spacing w:line="1" w:lineRule="auto"/>
                        </w:pPr>
                      </w:p>
                    </w:tc>
                  </w:tr>
                </w:tbl>
                <w:p w:rsidR="00B53C0D" w:rsidRDefault="00B53C0D">
                  <w:pPr>
                    <w:spacing w:line="1" w:lineRule="auto"/>
                  </w:pPr>
                </w:p>
              </w:tc>
            </w:tr>
          </w:tbl>
          <w:p w:rsidR="00B53C0D" w:rsidRDefault="00B53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3C0D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"Результаты деятельности субъекта бюджетной отчетности"</w:t>
            </w:r>
          </w:p>
          <w:p w:rsidR="00B53C0D" w:rsidRDefault="00B53C0D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B53C0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B53C0D" w:rsidRDefault="00340D15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Решением Думы городского округа Тольятти </w:t>
                  </w:r>
                  <w:r>
                    <w:rPr>
                      <w:color w:val="000000"/>
                      <w:sz w:val="28"/>
                      <w:szCs w:val="28"/>
                    </w:rPr>
                    <w:t>Самарской области от 23.11.2022 N 1418 (ред. от 22.12.2023) "О бюджете городского округа Тольятти на 2023 год и на плановый период 2024 и 2025 годов" департаменту культуры администрации городского округа Тольятти утверждено бюджетных ассигнований на 2023 г</w:t>
                  </w:r>
                  <w:r>
                    <w:rPr>
                      <w:color w:val="000000"/>
                      <w:sz w:val="28"/>
                      <w:szCs w:val="28"/>
                    </w:rPr>
                    <w:t>од в сумме 1 208 866 тыс. руб., доведены лимиты бюджетных обязательств в сумме 1 208 087 тыс. руб.</w:t>
                  </w:r>
                </w:p>
                <w:p w:rsidR="00B53C0D" w:rsidRDefault="00340D15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Результаты исполнения текстовых статей закона (решения) о бюджете предоставлены в таблице № 3 «Сведения об исполнении текстовых статей закона (решения) о бюд</w:t>
                  </w:r>
                  <w:r>
                    <w:rPr>
                      <w:color w:val="000000"/>
                      <w:sz w:val="28"/>
                      <w:szCs w:val="28"/>
                    </w:rPr>
                    <w:t>жете» (форма прилагается). </w:t>
                  </w:r>
                </w:p>
              </w:tc>
            </w:tr>
          </w:tbl>
          <w:p w:rsidR="00B53C0D" w:rsidRDefault="00B53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3C0D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"Анализ отчета об исполнении бюджета субъектом бюджетной отчетности"</w:t>
            </w:r>
          </w:p>
          <w:p w:rsidR="00B53C0D" w:rsidRDefault="00B53C0D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B53C0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10314"/>
                  </w:tblGrid>
                  <w:tr w:rsidR="00B53C0D">
                    <w:tc>
                      <w:tcPr>
                        <w:tcW w:w="103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3C0D" w:rsidRDefault="00340D15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Раздел 3 "Анализ отчета об исполнении бюджета субъектом бюджетной отчетности"</w:t>
                        </w:r>
                      </w:p>
                      <w:p w:rsidR="00B53C0D" w:rsidRDefault="00B53C0D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10314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0314"/>
                        </w:tblGrid>
                        <w:tr w:rsidR="00B53C0D">
                          <w:tc>
                            <w:tcPr>
                              <w:tcW w:w="10314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400" w:type="dxa"/>
                              </w:tcMar>
                            </w:tcPr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Раздел 3 «Анализ отчета об исполнении бюджета субъектом бюджетной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отчетности»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1. В рамках муниципальной программы «Культура Тольятти на 2019-2023 годы":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1) Осуществлялось финансовое обеспечение выполнения учреждениями, находящимися в ведомственном подчинении департамента  культуры, муниципального задания.  Запланировано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на 2023 год –  1 027 586 689,14 руб., исполнение составило  1 027 586 689,14 руб.  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2) Учреждениям, находящимся в ведомственном подчинении департамента культуры, в 2023 году предоставлялись субсидии на иные цели. Всего запланировано 179 379 757,99 руб., ис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полнение составило 177 752 758,44  руб., в том числе: 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•    субсидии на доплаты и компенсационные выплаты матерям – план 132 386,53 руб., исполнено – 132 386,53 руб.,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•  субсидии на обеспечение укрепления материально-технической базы учреждений в соответс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твии с современными требованиями (в том числе на проведение капитального ремонта) – план 78 789 827,63 руб., исполнено – 77 937 780,40 руб. Невыполнение плана 852 047,23 руб.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•  субсидии на создание условий для развития профессионального искусства, поддерж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ки художественного образования и обеспечение доступности культурных благ - план 5 578 232,00 руб., исполнение - 5 578 232,00 руб.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•  субсидии на осуществление выплат на оплату труда (с начислениями); компенсации за неиспользованный отпуск; пособий по сокра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щению, пособий  на период трудоустройства; по содержанию имущества и прочим расходам, ликвидационным расходам МБУ ВО "Тольяттинская консерватория" запланировано - 3 364 000,00 руб., исполнено - 2 589 069,78 руб., невыполнение плана - 774 930,22 руб.,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 •  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 субсидии на создание школ креативных индустрий: запланировано  - 46 446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217,08 руб., исполнено -                 46 446 217,11 руб.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•    субсидии на проведение мероприятий в целях софинансирования проектов - победителей в конкурсе грантов ПАО "Татнефть":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запланировано  - 1 746 973,80 руб., исполнено - 1 746 973,79 руб., невыполнение плана - 0,01 руб.,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•    субсидии на государственную поддержку отрасли культуры (модернизация библиотек в части комплектования книжных фондов библиотек муниципальных образован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ий): запланировано  - 2 878 013,77 руб., исполнено -              2 878 013,78 руб.  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 •    субсидии на поддержку творческой деятельности и техническое оснащение детских и кукольных театров - запланировано 6 867 927,63 руб., исполнение - 6 867 927,63 руб.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•    в рамках реализации национального проекта  «Культура» иные межбюджетные трансферты на создание модельных муниципальных библиотек – запланировано 10 000 000,0 руб., исполнено  - 10 000 000,0 руб.  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•    в рамках реализации национального проекта  «Кул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ьтура» субсидия на техническое оснащение муниципальных музеев: план - 5 066 340,27 руб., исполнение - 5 066 340,26 руб., отклонение - 0,01 руб. из-за недософинансирования  Минкультом.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•    в рамках реализации национального проекта "Культура" субсидии на ос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нащение региональных и муниципальных театров запланировано 18 359 852,63 руб., исполнено - 18 359 830,59 руб., отклонение - 22,04 руб. (уменьшение стоимости соглашения на условиях дополнительного соглашения с Минкультом);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•    субсидии автономным учреждени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ям на иные цели: план - 149 986,61 руб., факт - 149 986,61 руб.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3)    Непрограммное направление -   субсидии автономным учреждениям на иные цели: план - 6000,00 руб., факт - 5500,00 руб., неисполнение 500,00 руб.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4)  Другие   вопросы в области культуры, ки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нематографии   – иная закупка товаров, работ и услуг  для обеспечения государственных   (муниципальных) нужд: запланировано  - 1 890 735,60 руб., исполнено - 1 511 736,00 руб., отклонение составило 378 999,60 руб.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2.     Расхождение в сумме 2 тыс. руб. пок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азателей бюджета городского округа Тольятти по Решению Думы городского округа Тольятти Самарской области от 23.11.2022 N 1418 (ред. от 22.12.2023) "О бюджете городского округа Тольятти на 2023 год и плановый период 2024 и 2025 годов" – 1 208 866 тыс. руб.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с доведенными ассигнованиями в сумме 1 208 864 тыс. руб. возникло в связи с тем, что ведение сводной бюджетной росписи осуществляется ГРБС в рублях и копейках. В Решении о бюджете городского округа Тольятти показатели отражаются в целых тысячах рублей без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десятичных знаков. Разница в показателях образуется за счет округления в большую сторону.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3.  Сведения об исполнении бюджета отражены в форме 0503164 «Сведения об исполнении бюджета» (прилагается). Субсидии муниципальным учреждениям на цели, не связанные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 финансовым обеспечением выполнения ими муниципального задания в сумме 4 105 тыс. руб. при плане 5 261 тыс. руб., невыполнение плана 1 156 тыс. руб.: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-  субсидии на осуществление выплат на оплату труда (с начислениями); компенсации за неиспользованный отп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уск; пособий по сокращению; пособий на период трудоустройства; по содержанию имущества и прочим расходам, ликвидационным расходам МБОУ ВО «Тольяттинская консерватория» план 3 364 тыс. руб., фактические расходы 2 589 тыс. руб. Невыполнение плана 775 тыс. ру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б. обусловлено тем, что расходы на ликвидационные мероприятия проводились на основании фактической потребности учреждения, согласно предоставленных подтверждающих документов (приказы, ведомости начислений, фактов поставки товаров, работ, услуг); в соответс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твии с постановлением администрации от 04.07.2022 № 1389-п/1 в  2023 году  была проведена завершающая работа по ликвидации данного учреждения. 12 декабря 2023  в Единый государственный реестр юридических лиц внесена запись о ликвидации юридического лица. М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ероприятие исполнено.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 непрограммное направление -   субсидии автономным учреждениям на иные цели: план - 6,00 тыс. руб., факт - 5,50 тыс. руб., неисполнение 0,50 тыс. руб. сложилось из-за округления плана в большую сторону;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- другие   вопросы в области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культуры, кинематографии   – иная закупка товаров, работ и услуг  для обеспечения государственных   (муниципальных) нужд: запланировано  - 1 891 тыс. руб., исполнено - 1 512 тыс. руб., отклонение составило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379 тыс. руб.;  до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говоры заключены на основании ут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вержденной Институтом культуры стоимости  на образовательные услуги на обучение в 2022/2023 и 2023/2024  учебных годах по образовательной программе 53.05.04 "Музыкально - театральное искусство" (программа специалитета), специализация "Искусство оперного пе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ния", очная форма обучения студентов; в 2023 году оплата договоров на обучение студентов составила 838 тыс. руб., из них: за второе полугодие 2022/2023 учебного года было оплачено  4 договора из 5, в связи с нахождением одного студента в академическом отпу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ске (на сумму 468 тыс. руб.); за первое полугодие 2023/2024 учебного года - 3 договора на сумму 370 тыс. руб. в связи с академическим отпуском 1 студента до 31.01.2024 и отчислением в сентябре 2023г.  1 студента за неуспеваемость. Расходы проведены под фак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тически сложившуюся потребность на обучение на основании условий по заключенным договорам.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4. По доходам перевыполнение плана от компенсации затрат на 12,82 руб. и по штрафам на 415,75 руб. сложилось из-за округления плановых назначений в меньшую сторону;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по инициативным платежам недостижение плановых назначений на 24,00 руб. сложилось из-за округления сметы в большую сторону.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По группе доходов "БЕЗВОЗМЕЗДНЫЕ ПОСТУПЛЕНИЯ ОТ ДРУГИХ БЮДЖЕТОВ БЮДЖЕТНОЙ СИСТЕМЫ РФ" недостижение плановых показателей в размере 0,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05 руб. связано с округлением стоимости договоров (контрактов), заключенных подведомственными учреждениями с поставщиками, до целых копеек в меньшую сторону</w:t>
                              </w:r>
                            </w:p>
                          </w:tc>
                        </w:tr>
                      </w:tbl>
                      <w:p w:rsidR="00B53C0D" w:rsidRDefault="00B53C0D">
                        <w:pPr>
                          <w:spacing w:line="1" w:lineRule="auto"/>
                        </w:pPr>
                      </w:p>
                    </w:tc>
                  </w:tr>
                </w:tbl>
                <w:p w:rsidR="00B53C0D" w:rsidRDefault="00B53C0D">
                  <w:pPr>
                    <w:spacing w:line="1" w:lineRule="auto"/>
                  </w:pPr>
                </w:p>
              </w:tc>
            </w:tr>
          </w:tbl>
          <w:p w:rsidR="00B53C0D" w:rsidRDefault="00B53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3C0D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"Анализ показателей бухгалтерской отчетности субъекта бюджетной отчетности"</w:t>
            </w:r>
          </w:p>
          <w:p w:rsidR="00B53C0D" w:rsidRDefault="00B53C0D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B53C0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10314"/>
                  </w:tblGrid>
                  <w:tr w:rsidR="00B53C0D">
                    <w:tc>
                      <w:tcPr>
                        <w:tcW w:w="103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3C0D" w:rsidRDefault="00340D15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Раздел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4 "Анализ показателей бухгалтерской отчетности субъекта бюджетной отчетности"</w:t>
                        </w:r>
                      </w:p>
                      <w:p w:rsidR="00B53C0D" w:rsidRDefault="00B53C0D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10314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0314"/>
                        </w:tblGrid>
                        <w:tr w:rsidR="00B53C0D">
                          <w:tc>
                            <w:tcPr>
                              <w:tcW w:w="10314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400" w:type="dxa"/>
                              </w:tcMar>
                            </w:tcPr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Пояснения к форме R63 0503127-НП "Отчет об исполнении бюджета (нац.проекты)"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В 2023 году на национальный проект "Культура" предусмотрено 33 426 192.90 руб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., в т. ч.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в рамка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х целевого мероприятия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"Создание модельных муниципальных библиотек"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- 10 000 000,00 руб. На 31.12.2023 г. перечислено 10 000 000,00 руб. МБУК "Библиотеки Тольятти" на основании договоров с поставщиками, счетов на оплату, УПД, товарных накладных; подробная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информация об исполнении отражена в ф. 0503760;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в рамках целевого мероприятия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"Оснащение региональных и муниципальных театров"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- 18 359 852,63 руб. На 31.12.2023 г. перечислено 18 359 830,59 руб. (100% финансирования из Минкульта СО) МАУ ДТ "Колесо" на о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сновании договоров с поставщиками, счетов на оплату, УПД, товарных накладных; подробная информация об исполнении отражена в ф. 0503760;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в рамках целевого мероприятия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"Техническое оснащение муниципальных музеев"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-  5 066 340,27 руб. На 31.12.2023 г. переч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ислено 5 066 340,26 руб. (100% финансирования из Минкульта СО):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МБУК ТКМ  4 209 547,36 руб. на основании договоров с поставщиками, счетов на оплату, УПД, товарных накладных; подробная информация об исполнении отражена в ф. 0503760;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МБУК ГМК "Наследие" 856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792,90 руб. на основании договоров с поставщиками, счетов на оплату, УПД, товарных накладных; подробная информация об исполнении отражена в ф. 0503760.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Пояснения к форме 0503125 "Справка по консолидируемым отчетам" (счет 205)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На 31.12.2023 г. в рамках реа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лизации гос.программы Самарской области "Развитие культуры в Самарской области на период до 2025 года" от Министерства культуры Самарской области поступили субсидии в размере  85 752 533,41 руб.: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в размере 44 123 906,21  руб. на создание школ креативных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индустрий (соглашение № 36740000-1-2023-005 от 06.02.2023 г.);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 размере 2 849 233,64  руб. на модернизацию библиотек в части комплектования книжных фондов библиотек (соглашение № 36740000-1-2023-007 от 06.02.2023 г.);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 размере 6 524 531,25  руб. на поддержку творческой деятельности и техническое оснащение детских и кукольных театров (соглашение № 36740000-1-2023-008 от 06.02.2023 г.);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в размере 4 813 023,25  руб. на техническое оснащение муниципальных музеев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(соглашени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е № 36740000-1-2023-006 от 06.02.2023 г.);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 размере 17 441 839,06  руб. на оснащение муниципальных театров (соглашение № 36740000-1-2023-009 от 06.02.2023 г.);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 размере 10 000 000,00 руб. на создание модельных муниципальных библиотек (соглашение № 367400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00-1-2023-010 от 06.02.2023 г.).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Пояснения к форме 0503128-НП "Отчет о бюджетных обязательствах (национальные проекты)"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В 2023 году на национальный проект "Культура" предусмотрено 33 426 192,90 руб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., в т. ч. 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в рамках целевого мероприятия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"Создание модел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ьных муниципальных библиотек"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- 10 000 000,00 руб. для МБУК "Библиотеки Тольятти". Соглашение с учреждением заключено на всю сумму. Перечислено учреждению 10000000,00 руб. на основании договоров с поставщиками, счетов на оплату, УПД, товарных накладных, по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дробная информация отражена в ф. 0503760.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в рамках целевого мероприятия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"Оснащение региональных и муниципальных театров"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- 18 359 852,63 руб. для МАУ "ДТ Колесо".  Соглашение с учреждением заключено на всю сумму. Перечислено учреждению 100% финансировани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я, поступившего из Минкульта СО, 18 359 830,59 руб. на основании договоров с поставщиками, счетов на оплату, УПД, товарных накладных.  Подробная информация об исполнении отражена в ф. 0503760.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в рамках целевого мероприятия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 "Техническое оснащение муниципа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льных музеев"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-  5 066 340,27 руб., перечислено учреждениям 5 066 340,26 руб.: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МБУК "Наследие" - заключено соглашение на 856 792,90 руб.; перечислено 856 792,90 руб. на основании договоров с поставщиками, счетов на оплату, УПД, товарных накладных, подробна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я информация отражена в ф. 0503760;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МБУК ТКМ - заключено соглашение на 4 209 547,37 руб., перечислено учреждению  4 209 547,36 руб. (100% финансирования, поступившего из Минкульта СО) на основании договоров с поставщиками, счетов на оплату, УПД, товарных н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акладных. Подробная информация об исполнении отражена в ф. 0503760.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предупреждение на некорректный КЦСР 990А155192; 6 ошибок при сравнении с ф. 124 вышестоящего ФО; 4 предупреждения при контроле с ф. 738-5НП (увеличение суммы бюджетных ассигнований и отс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утствие БО в данной форме отчетности), 9 предупреждения при контроле с прошлым периодом.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Обязательства следующих лет из ф. 0503738-5 НП (плановые назначения) в размере 5 556 879,84 руб. (на 2024 год) не отражены в форме, т.к. Соглашения с учреждениями закл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ючаются на текущий год (2023 год), а с Министерством культуры Самарской области - на 3 года (2023-2025 гг.).</w:t>
                              </w:r>
                            </w:p>
                            <w:p w:rsidR="00B53C0D" w:rsidRDefault="00340D15">
                              <w:pPr>
                                <w:spacing w:before="30" w:after="3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Пояснения к форме 0503169 "Сведения о дебиторской задолженности" (бюджетная деятельность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</w:rPr>
                                <w:t>)</w:t>
                              </w:r>
                            </w:p>
                            <w:p w:rsidR="00B53C0D" w:rsidRDefault="00340D15">
                              <w:pPr>
                                <w:spacing w:before="30" w:after="3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Дебиторская задолженность по состоянию на 01.01.2024 г. 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по счету 206.26.000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составила 369 960,00 руб. Перечислен авансовый платеж в размере 50% на основании условий муниципальных контрактов с Самарским государственным институтом культуры за обучение студентов - 3 человека.</w:t>
                              </w:r>
                            </w:p>
                            <w:p w:rsidR="00B53C0D" w:rsidRDefault="00340D15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По форме 0503130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«Баланс главного расп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    в «Справке о наличии имущества и обязательств на забала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нсовых счетах» на забалансовом счете 07 "Награды, призы, кубки и ценные подарки, сувениры" учитываются материальные ценности, приобретаемые в целях вручения (награждения), дарения при проведении мероприятий, за достижения, победы в конкурсах, юбилейных дат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ах.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За отчетный период департаментом культуры вручена коллективам организаций, отмечавшим юбилейные и памятные даты наградная продукция на сумму 37 332,05 рублей. 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Для вручения коллективам организаций, в связи с юбилейными и памятными датами, приобретены 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приняты на забалансовый счет наградная продукция на сумму 74 418,00 руб. (плакетки, бланки благодарственных писем, рамки, папки для наградных материалов).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Участие в государственных (муниципальных) учреждениях.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По счету 120433000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«Участие в государственных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(муниципальных) учреждениях» по состоянию на 01.01.2023 года учтено особо ценное имущество на сумму  1 510 252 775,00 рублей. В течение 2023 года производилась корректировка показателя размера участия в государственных (муниципальных) учреждениях.  При из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менении балансовой стоимости особо ценного имущества бюджетных и автономных учреждений, на основании постановлений администрации городского округа Тольятти, предоставленных извещений по форме 0504805, отражалось увеличение или уменьшение показателя в резул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ьтате поступления или выбытия особо ценного или недвижимого имущества бюджетных и автономных учреждений. По состоянию на 01.01.2024 г. учтено особо ценное имущество на сумму 1 555 205 700,38 рублей.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Результаты движения особо ценного имущества за 2023 год о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тражены в прилагаемом файле "ОЦДИ"</w:t>
                              </w:r>
                            </w:p>
                            <w:p w:rsidR="00B53C0D" w:rsidRDefault="00340D15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В форме 0503173 «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Сведения об изменении остатков валюты баланса» отражено: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Увеличение стоимости ОЦДИ (МБУ ДО ДШИ им. М.А. Балакирева) на 62 000,00 руб. Имущество (ксилофон) поступило в 2022 г. (Постановление администрации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г.о. Тольятти № 446-п/1 от 02.03.2022 г.), но не было отражено в бухгалтерской отчетности. Извещение № 1 о расчетах между учреждениями поступило в департамент культуры 23.08.2023 г.</w:t>
                              </w:r>
                            </w:p>
                            <w:p w:rsidR="00B53C0D" w:rsidRDefault="00340D15">
                              <w:pPr>
                                <w:spacing w:before="50" w:after="5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В форме 0503171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«Сведения о финансовых вложениях получателя бюджетных сред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ств, администратора источников финансирования дефицита бюджета» отражена информация  за отчетный период о финансовых вложениях по учету особо ценного имущества в разрезе  подведомственных департаменту культуры учреждений. Остаток ОЦДИ по состоянию на 01.01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.2023 составляет 1 555 205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700,38 руб.</w:t>
                              </w:r>
                            </w:p>
                          </w:tc>
                        </w:tr>
                      </w:tbl>
                      <w:p w:rsidR="00B53C0D" w:rsidRDefault="00B53C0D">
                        <w:pPr>
                          <w:spacing w:line="1" w:lineRule="auto"/>
                        </w:pPr>
                      </w:p>
                    </w:tc>
                  </w:tr>
                </w:tbl>
                <w:p w:rsidR="00B53C0D" w:rsidRDefault="00B53C0D">
                  <w:pPr>
                    <w:spacing w:line="1" w:lineRule="auto"/>
                  </w:pPr>
                </w:p>
              </w:tc>
            </w:tr>
          </w:tbl>
          <w:p w:rsidR="00B53C0D" w:rsidRDefault="00B53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3C0D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"Прочие вопросы деятельности субъекта бюджетной отчетности"</w:t>
            </w:r>
          </w:p>
          <w:p w:rsidR="00B53C0D" w:rsidRDefault="00B53C0D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B53C0D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10314"/>
                  </w:tblGrid>
                  <w:tr w:rsidR="00B53C0D">
                    <w:tc>
                      <w:tcPr>
                        <w:tcW w:w="103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0" w:type="dxa"/>
                        </w:tcMar>
                      </w:tcPr>
                      <w:p w:rsidR="00B53C0D" w:rsidRDefault="00340D15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Перед составлением годовой отчетности в департаменте культуры по состоянию на 01.12.2023 г. проведена инвентаризация материальных запасов,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по состоянию на 01.01.2024 - инвентаризация финансовых активов и обязательств (приказ № 41-пк-3.3 от 20.11.2023). Расхождений данных в бухгалтерском учете и наличии материальных запасов, финансовых активов и обязательств не выявлено. </w:t>
                        </w:r>
                        <w:hyperlink r:id="rId6" w:history="1">
                          <w:r>
                            <w:rPr>
                              <w:rStyle w:val="a3"/>
                              <w:sz w:val="28"/>
                              <w:szCs w:val="28"/>
                              <w:shd w:val="clear" w:color="auto" w:fill="FFFFFF"/>
                            </w:rPr>
                            <w:t>Таблица N 6</w:t>
                          </w:r>
                        </w:hyperlink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 «Сведения о проведении инвентаризации» к пояснительной записке ф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. 0503160 не заполняется.</w:t>
                        </w:r>
                      </w:p>
                      <w:p w:rsidR="00B53C0D" w:rsidRDefault="00340D15">
                        <w:pPr>
                          <w:spacing w:before="50" w:after="5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соответствии с п.8 Инструкции 191Н не предоставляются в составе бюджетной отчетности формы, не имеющие  числовых значений: </w:t>
                        </w:r>
                      </w:p>
                      <w:p w:rsidR="00B53C0D" w:rsidRDefault="00340D15">
                        <w:pPr>
                          <w:spacing w:before="50" w:after="5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Форма по ОКУД 0503110Р «Расшифровка показателей, отраженных в Справке по заключению счетов бюджетного уч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ета отчетного финансового года (ф. 0503110) (справочно)».</w:t>
                        </w:r>
                      </w:p>
                      <w:p w:rsidR="00B53C0D" w:rsidRDefault="00340D15">
                        <w:pPr>
                          <w:spacing w:before="50" w:after="5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Форма по ОКУД 0503166 «Сведения об исполнении мероприятий в рамках целевых программ».</w:t>
                        </w:r>
                      </w:p>
                      <w:p w:rsidR="00B53C0D" w:rsidRDefault="00340D15">
                        <w:pPr>
                          <w:spacing w:before="50" w:after="5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Форма по ОКУД 0503167 «Сведения о целевых иностранных кредитах».</w:t>
                        </w:r>
                      </w:p>
                      <w:p w:rsidR="00B53C0D" w:rsidRDefault="00340D15">
                        <w:pPr>
                          <w:spacing w:before="50" w:after="5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Форма по ОКУД 0503172 «Сведения о государственн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ом (муниципальном) долге, предоставленных бюджетных кредитах».</w:t>
                        </w:r>
                      </w:p>
                      <w:p w:rsidR="00B53C0D" w:rsidRDefault="00340D15">
                        <w:pPr>
                          <w:spacing w:before="50" w:after="5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Форма по ОКУД  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капитале».</w:t>
                        </w:r>
                      </w:p>
                      <w:p w:rsidR="00B53C0D" w:rsidRDefault="00340D15">
                        <w:pPr>
                          <w:spacing w:before="50" w:after="5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Форма по ОКУД 0503175 «Сведения о принятых и неисполненных обязательствах получателя бюджетных средств».</w:t>
                        </w:r>
                      </w:p>
                      <w:p w:rsidR="00B53C0D" w:rsidRDefault="00340D15">
                        <w:pPr>
                          <w:spacing w:before="50" w:after="5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Форма по ОКУД 0503178 «Сведения об остатках денежных средств на счетах получателя бюджетных средств».</w:t>
                        </w:r>
                      </w:p>
                      <w:p w:rsidR="00B53C0D" w:rsidRDefault="00340D15">
                        <w:pPr>
                          <w:spacing w:before="50" w:after="5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Форма по ОКУД 0503184 «Справка о сум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мах консолидируемых поступлений, подлежащих зачислению на счет бюджета»</w:t>
                        </w:r>
                      </w:p>
                      <w:p w:rsidR="00B53C0D" w:rsidRDefault="00340D15">
                        <w:pPr>
                          <w:spacing w:before="50" w:after="5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Форма по ОКУД 0503190 «Сведения об объектах незавершенного строительства, вложениях в объекты недвижимого имущества»</w:t>
                        </w:r>
                      </w:p>
                      <w:p w:rsidR="00B53C0D" w:rsidRDefault="00340D15">
                        <w:pPr>
                          <w:spacing w:before="50" w:after="5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Форма по ОКУД 0503296 «Сведения об исполнении судебных решений по д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енежным обязательствам бюджета».</w:t>
                        </w:r>
                      </w:p>
                    </w:tc>
                  </w:tr>
                </w:tbl>
                <w:p w:rsidR="00B53C0D" w:rsidRDefault="00B53C0D">
                  <w:pPr>
                    <w:spacing w:line="1" w:lineRule="auto"/>
                  </w:pPr>
                </w:p>
              </w:tc>
            </w:tr>
          </w:tbl>
          <w:p w:rsidR="00B53C0D" w:rsidRDefault="00B53C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3C0D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</w:tbl>
    <w:p w:rsidR="00B53C0D" w:rsidRDefault="00B53C0D">
      <w:pPr>
        <w:rPr>
          <w:vanish/>
        </w:rPr>
      </w:pPr>
      <w:bookmarkStart w:id="2" w:name="__bookmark_4"/>
      <w:bookmarkEnd w:id="2"/>
    </w:p>
    <w:tbl>
      <w:tblPr>
        <w:tblOverlap w:val="never"/>
        <w:tblW w:w="10372" w:type="dxa"/>
        <w:tblLayout w:type="fixed"/>
        <w:tblLook w:val="01E0"/>
      </w:tblPr>
      <w:tblGrid>
        <w:gridCol w:w="3118"/>
        <w:gridCol w:w="1700"/>
        <w:gridCol w:w="850"/>
        <w:gridCol w:w="3685"/>
        <w:gridCol w:w="453"/>
        <w:gridCol w:w="566"/>
      </w:tblGrid>
      <w:tr w:rsidR="00B53C0D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B53C0D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340D15">
                  <w:r>
                    <w:rPr>
                      <w:color w:val="000000"/>
                      <w:sz w:val="28"/>
                      <w:szCs w:val="28"/>
                    </w:rPr>
                    <w:t>заместитель руководителя департамента</w:t>
                  </w: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B53C0D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340D1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Н.И. Козлова</w:t>
                  </w: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  <w:tr w:rsidR="00B53C0D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  <w:tr w:rsidR="00B53C0D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B53C0D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C0D" w:rsidRDefault="00340D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B53C0D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C0D" w:rsidRDefault="00B53C0D">
                  <w:pPr>
                    <w:spacing w:line="1" w:lineRule="auto"/>
                  </w:pPr>
                </w:p>
              </w:tc>
            </w:tr>
            <w:tr w:rsidR="00B53C0D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15"/>
                  </w:tblGrid>
                  <w:tr w:rsidR="00B53C0D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3C0D" w:rsidRDefault="00340D15">
                        <w:r>
                          <w:rPr>
                            <w:color w:val="000000"/>
                          </w:rPr>
                          <w:t>Сертификат: 741604727321EA4B0477A11A24E5CD7D</w:t>
                        </w:r>
                      </w:p>
                      <w:p w:rsidR="00B53C0D" w:rsidRDefault="00340D15">
                        <w:r>
                          <w:rPr>
                            <w:color w:val="000000"/>
                          </w:rPr>
                          <w:t>Владелец: Козлова Надежда Ивановна</w:t>
                        </w:r>
                      </w:p>
                      <w:p w:rsidR="00B53C0D" w:rsidRDefault="00340D15">
                        <w:r>
                          <w:rPr>
                            <w:color w:val="000000"/>
                          </w:rPr>
                          <w:t>Действителен с 31.07.2023 по 23.10.2024</w:t>
                        </w:r>
                      </w:p>
                    </w:tc>
                  </w:tr>
                </w:tbl>
                <w:p w:rsidR="00B53C0D" w:rsidRDefault="00B53C0D">
                  <w:pPr>
                    <w:spacing w:line="1" w:lineRule="auto"/>
                  </w:pPr>
                </w:p>
              </w:tc>
            </w:tr>
            <w:tr w:rsidR="00B53C0D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B53C0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B53C0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B53C0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B53C0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B53C0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B53C0D">
                  <w:pPr>
                    <w:spacing w:line="1" w:lineRule="auto"/>
                  </w:pP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</w:tr>
      <w:tr w:rsidR="00B53C0D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  <w:tr w:rsidR="00B53C0D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B53C0D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340D15">
                  <w:r>
                    <w:rPr>
                      <w:color w:val="000000"/>
                      <w:sz w:val="28"/>
                      <w:szCs w:val="28"/>
                    </w:rPr>
                    <w:t>начальник финансово-экономического отдела</w:t>
                  </w: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B53C0D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340D1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Н.В. Русакова</w:t>
                  </w: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  <w:tr w:rsidR="00B53C0D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pBdr>
                <w:top w:val="single" w:sz="6" w:space="0" w:color="000000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  <w:tr w:rsidR="00B53C0D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  <w:tr w:rsidR="00B53C0D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  <w:tr w:rsidR="00B53C0D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B53C0D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340D15">
                  <w:r>
                    <w:rPr>
                      <w:color w:val="000000"/>
                      <w:sz w:val="28"/>
                      <w:szCs w:val="28"/>
                    </w:rPr>
                    <w:t>Главный специалист</w:t>
                  </w: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B53C0D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340D1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Н.А. Кохан</w:t>
                  </w: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  <w:tr w:rsidR="00B53C0D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  <w:tr w:rsidR="00B53C0D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B53C0D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C0D" w:rsidRDefault="00340D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ДОКУМЕНТ ПОДПИСАН </w:t>
                  </w:r>
                  <w:r>
                    <w:rPr>
                      <w:b/>
                      <w:bCs/>
                      <w:color w:val="000000"/>
                    </w:rPr>
                    <w:t>ЭЛЕКТРОННОЙ ПОДПИСЬЮ</w:t>
                  </w:r>
                </w:p>
              </w:tc>
            </w:tr>
            <w:tr w:rsidR="00B53C0D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C0D" w:rsidRDefault="00B53C0D">
                  <w:pPr>
                    <w:spacing w:line="1" w:lineRule="auto"/>
                  </w:pPr>
                </w:p>
              </w:tc>
            </w:tr>
            <w:tr w:rsidR="00B53C0D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15"/>
                  </w:tblGrid>
                  <w:tr w:rsidR="00B53C0D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3C0D" w:rsidRDefault="00340D15">
                        <w:r>
                          <w:rPr>
                            <w:color w:val="000000"/>
                          </w:rPr>
                          <w:t>Сертификат: 01031BCEFA8176F0A18686202B0FCC26</w:t>
                        </w:r>
                      </w:p>
                      <w:p w:rsidR="00B53C0D" w:rsidRDefault="00340D15">
                        <w:r>
                          <w:rPr>
                            <w:color w:val="000000"/>
                          </w:rPr>
                          <w:t>Владелец: Кохан Наталья Анатольевна</w:t>
                        </w:r>
                      </w:p>
                      <w:p w:rsidR="00B53C0D" w:rsidRDefault="00340D15">
                        <w:r>
                          <w:rPr>
                            <w:color w:val="000000"/>
                          </w:rPr>
                          <w:t>Действителен с 30.08.2023 по 22.11.2024</w:t>
                        </w:r>
                      </w:p>
                    </w:tc>
                  </w:tr>
                </w:tbl>
                <w:p w:rsidR="00B53C0D" w:rsidRDefault="00B53C0D">
                  <w:pPr>
                    <w:spacing w:line="1" w:lineRule="auto"/>
                  </w:pPr>
                </w:p>
              </w:tc>
            </w:tr>
            <w:tr w:rsidR="00B53C0D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B53C0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B53C0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B53C0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B53C0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B53C0D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B53C0D">
                  <w:pPr>
                    <w:spacing w:line="1" w:lineRule="auto"/>
                  </w:pP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</w:tr>
      <w:tr w:rsidR="00B53C0D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  <w:tr w:rsidR="00B53C0D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  <w:tr w:rsidR="00B53C0D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06"/>
            </w:tblGrid>
            <w:tr w:rsidR="00B53C0D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340D15">
                  <w:r>
                    <w:rPr>
                      <w:color w:val="000000"/>
                      <w:sz w:val="28"/>
                      <w:szCs w:val="28"/>
                    </w:rPr>
                    <w:t>9 февраля 2024 г.</w:t>
                  </w: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</w:tbl>
    <w:p w:rsidR="00B53C0D" w:rsidRDefault="00B53C0D">
      <w:pPr>
        <w:sectPr w:rsidR="00B53C0D" w:rsidSect="008A33BE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B53C0D" w:rsidRDefault="00B53C0D">
      <w:pPr>
        <w:rPr>
          <w:vanish/>
        </w:rPr>
      </w:pPr>
      <w:bookmarkStart w:id="3" w:name="__bookmark_6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</w:tblGrid>
      <w:tr w:rsidR="00B53C0D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№3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</w:tr>
      <w:tr w:rsidR="00B53C0D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088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закона (решения) о бюджете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</w:tr>
      <w:tr w:rsidR="00B53C0D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</w:tr>
      <w:tr w:rsidR="00B53C0D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неисполнения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</w:tr>
      <w:tr w:rsidR="00B53C0D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</w:tr>
      <w:tr w:rsidR="00B53C0D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  <w:tr w:rsidR="00B53C0D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</w:tbl>
    <w:p w:rsidR="00B53C0D" w:rsidRDefault="00B53C0D">
      <w:pPr>
        <w:sectPr w:rsidR="00B53C0D" w:rsidSect="008A33BE">
          <w:headerReference w:type="default" r:id="rId9"/>
          <w:footerReference w:type="default" r:id="rId10"/>
          <w:pgSz w:w="11905" w:h="16837"/>
          <w:pgMar w:top="1133" w:right="566" w:bottom="1133" w:left="1133" w:header="1133" w:footer="1133" w:gutter="0"/>
          <w:cols w:space="720"/>
        </w:sectPr>
      </w:pPr>
    </w:p>
    <w:p w:rsidR="00B53C0D" w:rsidRDefault="00B53C0D">
      <w:pPr>
        <w:rPr>
          <w:vanish/>
        </w:rPr>
      </w:pPr>
      <w:bookmarkStart w:id="4" w:name="__bookmark_11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B53C0D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№13</w:t>
            </w:r>
          </w:p>
        </w:tc>
      </w:tr>
      <w:tr w:rsidR="00B53C0D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отчета об исполнении бюджета субъектом бюджетной отчетности</w:t>
            </w:r>
          </w:p>
        </w:tc>
      </w:tr>
      <w:tr w:rsidR="00B53C0D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</w:tr>
      <w:tr w:rsidR="00B53C0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B53C0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53C0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 об исполнении бюджета (ф.0503127): причины отклонения суммы </w:t>
            </w:r>
            <w:r>
              <w:rPr>
                <w:color w:val="000000"/>
                <w:sz w:val="28"/>
                <w:szCs w:val="28"/>
              </w:rPr>
              <w:t>неисполненных назначений, отраженных в графе 9 по соответствующим строкам раздела 1 "Доходы", от разницы показателей граф 4 и 8 по строке 010 "Доходы бюджета - всего"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Отклонение: 428.57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По доходам перевыполнение плана от компенсации затрат на 12,82 руб</w:t>
            </w:r>
            <w:r>
              <w:rPr>
                <w:i/>
                <w:iCs/>
                <w:color w:val="000000"/>
                <w:sz w:val="28"/>
                <w:szCs w:val="28"/>
              </w:rPr>
              <w:t>. и по штрафам на 415,75 руб. сложилось из-за округления плановых назначений в меньшую сторону.</w:t>
            </w:r>
          </w:p>
        </w:tc>
      </w:tr>
      <w:tr w:rsidR="00B53C0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(ф.0503164): код "99 - иные причины" по графе 8 раздела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КБК: 912 0801 9900000000 000; сумма: -500.00; пояснение: непрограм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мное направление -   субсидии автономным учреждениям на иные цели, неисполнение сложилось из-за округления плана в большую сторону;; 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КБК: 912 0706 0100000000 000; сумма: -774930.22; пояснение: субсидии на осуществление выплат на оплату труда (с начисления</w:t>
            </w:r>
            <w:r>
              <w:rPr>
                <w:i/>
                <w:iCs/>
                <w:color w:val="000000"/>
                <w:sz w:val="28"/>
                <w:szCs w:val="28"/>
              </w:rPr>
              <w:t>ми); компенсации за неиспользованный отпуск; пособий по сокращению; пособий на период трудоустройства; по содержанию имущества и прочим расходам, ликвидационным расходам МБОУ ВО «Тольяттинская консерватория»; невыполнение плана обусловлено тем, что расходы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на ликвидационные мероприятия проводились на основании фактической потребности учреждения, согласно предоставленных подтверждающих документов (приказы, ведомости начислений, фактов поставки товаров, работ, услуг); в соответствии с постановлением администр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ации от 04.07.2022 № 1389-п/1 в  2023 году  была проведена завершающая работа по ликвидации данного учреждения. 12 декабря 2023  в Единый государственный реестр юридических лиц внесена запись о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ликвидации юридического лица. Мероприятие исполнено;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КБК: 912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0804 0100000000 000; сумма: -378999.60; пояснение: другие   вопросы в области культуры, кинематографии   – иная закупка товаров, работ и услуг  для обеспечения государственных   (муниципальных) нужд, договоры заключены на основании утвержденной Институтом </w:t>
            </w:r>
            <w:r>
              <w:rPr>
                <w:i/>
                <w:iCs/>
                <w:color w:val="000000"/>
                <w:sz w:val="28"/>
                <w:szCs w:val="28"/>
              </w:rPr>
              <w:t>культуры стоимости  на образовательные услуги на обучение в 2022/2023 и 2023/2024  учебных годах по образовательной программе 53.05.04 "Музыкально - театральное искусство" (программа специалитета), специализация "Искусство оперного пения", очная форма обуч</w:t>
            </w:r>
            <w:r>
              <w:rPr>
                <w:i/>
                <w:iCs/>
                <w:color w:val="000000"/>
                <w:sz w:val="28"/>
                <w:szCs w:val="28"/>
              </w:rPr>
              <w:t>ения студентов; в 2023 году оплата договоров на обучение студентов составила 838 тыс. руб., из них: за второе полугодие 2022/2023 учебного года было оплачено  4 договора из 5, в связи с нахождением одного студента в академическом отпуске (на сумму 468 тыс.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руб.); за первое полугодие 2023/2024 учебного года - 3 договора на сумму 370 тыс. руб. в связи с академическим отпуском 1 студента до 31.01.2024 и отчислением в сентябре 2023г.  1 студента за неуспеваемость. Расходы проведены под фактически сложившуюся по</w:t>
            </w:r>
            <w:r>
              <w:rPr>
                <w:i/>
                <w:iCs/>
                <w:color w:val="000000"/>
                <w:sz w:val="28"/>
                <w:szCs w:val="28"/>
              </w:rPr>
              <w:t>требность на обучение на основании условий по заключенным договорам.</w:t>
            </w:r>
          </w:p>
        </w:tc>
      </w:tr>
      <w:tr w:rsidR="00B53C0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Сведения об исполнении бюджета (ф.0503164): по графе 8 раздела 2 несколько причин отклонения одновременно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53C0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исполнения текстовых статей закона (решения) о бюджете, касающихся приоритетных национальных проектов и </w:t>
            </w:r>
            <w:r>
              <w:rPr>
                <w:color w:val="000000"/>
                <w:sz w:val="28"/>
                <w:szCs w:val="28"/>
              </w:rPr>
              <w:lastRenderedPageBreak/>
              <w:t>имеющих отношение к деятельности субъекта бюджетной отчетности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53C0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Информация о принятии денежных обязательств сверх утвержденного субъекту от</w:t>
            </w:r>
            <w:r>
              <w:rPr>
                <w:color w:val="000000"/>
                <w:sz w:val="28"/>
                <w:szCs w:val="28"/>
              </w:rPr>
              <w:t>четности на финансовый год объема бюджетных ассигнований и (или) лимитов бюджетных обязательств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53C0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по обобщенным данным об операциях по управлению остатками средств на едином счете соответствующего бюджета за отчетный период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53C0D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42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42"/>
            </w:tblGrid>
            <w:tr w:rsidR="00B53C0D">
              <w:tc>
                <w:tcPr>
                  <w:tcW w:w="36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3C0D" w:rsidRDefault="00340D15">
                  <w:r>
                    <w:rPr>
                      <w:color w:val="000000"/>
                      <w:sz w:val="28"/>
                      <w:szCs w:val="28"/>
                    </w:rPr>
                    <w:t>Иной пока</w:t>
                  </w:r>
                  <w:r>
                    <w:rPr>
                      <w:color w:val="000000"/>
                      <w:sz w:val="28"/>
                      <w:szCs w:val="28"/>
                    </w:rPr>
                    <w:t>затель:</w:t>
                  </w:r>
                </w:p>
              </w:tc>
            </w:tr>
          </w:tbl>
          <w:p w:rsidR="00B53C0D" w:rsidRDefault="00B53C0D">
            <w:pPr>
              <w:spacing w:line="1" w:lineRule="auto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53C0D">
        <w:trPr>
          <w:trHeight w:val="1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</w:tbl>
    <w:p w:rsidR="00B53C0D" w:rsidRDefault="00B53C0D">
      <w:pPr>
        <w:sectPr w:rsidR="00B53C0D" w:rsidSect="008A33BE">
          <w:headerReference w:type="default" r:id="rId11"/>
          <w:footerReference w:type="default" r:id="rId12"/>
          <w:pgSz w:w="11905" w:h="16837"/>
          <w:pgMar w:top="1133" w:right="566" w:bottom="1133" w:left="1133" w:header="1133" w:footer="1133" w:gutter="0"/>
          <w:cols w:space="720"/>
        </w:sectPr>
      </w:pPr>
    </w:p>
    <w:p w:rsidR="00B53C0D" w:rsidRDefault="00B53C0D">
      <w:pPr>
        <w:rPr>
          <w:vanish/>
        </w:rPr>
      </w:pPr>
      <w:bookmarkStart w:id="5" w:name="__bookmark_17"/>
      <w:bookmarkEnd w:id="5"/>
    </w:p>
    <w:tbl>
      <w:tblPr>
        <w:tblOverlap w:val="never"/>
        <w:tblW w:w="10206" w:type="dxa"/>
        <w:tblLayout w:type="fixed"/>
        <w:tblLook w:val="01E0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81"/>
      </w:tblGrid>
      <w:tr w:rsidR="00B53C0D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383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№16</w:t>
            </w:r>
          </w:p>
        </w:tc>
      </w:tr>
      <w:tr w:rsidR="00B53C0D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вопросы деятельности субъекта бюджетной отчетности</w:t>
            </w:r>
          </w:p>
        </w:tc>
      </w:tr>
      <w:tr w:rsidR="00B53C0D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  <w:jc w:val="center"/>
            </w:pPr>
          </w:p>
        </w:tc>
      </w:tr>
      <w:tr w:rsidR="00B53C0D">
        <w:trPr>
          <w:trHeight w:val="6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отчета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B53C0D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53C0D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Годовая инвентаризация проведена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По состоянию </w:t>
            </w:r>
            <w:r>
              <w:rPr>
                <w:i/>
                <w:iCs/>
                <w:color w:val="000000"/>
                <w:sz w:val="28"/>
                <w:szCs w:val="28"/>
              </w:rPr>
              <w:t>на 01.12.2023 г. проведена инвентаризация материальных запасов, по состоянию на 01.01.2024 - инвентаризация финансовых активов и обязательств (приказ № 41-пк-3.3 от 20.11.2023). Расхождений данных в бухгалтерском учете и наличии материальных запасов, финан</w:t>
            </w:r>
            <w:r>
              <w:rPr>
                <w:i/>
                <w:iCs/>
                <w:color w:val="000000"/>
                <w:sz w:val="28"/>
                <w:szCs w:val="28"/>
              </w:rPr>
              <w:t>совых активов и обязательств не выявлено.</w:t>
            </w:r>
          </w:p>
        </w:tc>
      </w:tr>
      <w:tr w:rsidR="00B53C0D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0503296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задолженности по исполнительным документам и о правовом основании ее возникновения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53C0D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Корреспонденция счетов бюджетного учета, утвержденная субъектом учета (централизованной </w:t>
            </w:r>
            <w:r>
              <w:rPr>
                <w:color w:val="000000"/>
                <w:sz w:val="28"/>
                <w:szCs w:val="28"/>
              </w:rPr>
              <w:t>бухгалтерии)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53C0D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форм отчетности, не включенных в состав бюджетной отчетности за отчетный период ввиду отсутствия числовых значений показателей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Форма по ОКУД 0503110Р «Расшифровка показателей, отраженных в Справке по заключению счетов бюджетн</w:t>
            </w:r>
            <w:r>
              <w:rPr>
                <w:i/>
                <w:iCs/>
                <w:color w:val="000000"/>
                <w:sz w:val="28"/>
                <w:szCs w:val="28"/>
              </w:rPr>
              <w:t>ого учета отчетного финансового года (ф. 0503110) (справочно)».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 Форма по ОКУД 0503166 «Сведения об исполнении мероприятий в рамках целевых программ».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 Форма по ОКУД 0503167 «Сведения о целевых иностранных кредитах».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 Форма по ОКУД 0503172 «Сведения о госу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дарственном (муниципальном) долге,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предоставленных бюджетных кредитах».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 Форма по ОКУД 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участием в капитале».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 Форма по ОКУД 0503175 «Сведения о принятых и неисполненных обязательствах получателя бюджетных средств».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 Форма по ОКУД 0503178 «Сведения об остатках денежных средств на счетах получателя бюджетных средств».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 Форма по ОКУД 0503184 «</w:t>
            </w:r>
            <w:r>
              <w:rPr>
                <w:i/>
                <w:iCs/>
                <w:color w:val="000000"/>
                <w:sz w:val="28"/>
                <w:szCs w:val="28"/>
              </w:rPr>
              <w:t>Справка о суммах консолидируемых поступлений, подлежащих зачислению на счет бюджета»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 Форма по ОКУД 0503190 «Сведения об объектах незавершенного строительства, вложениях в объекты недвижимого имущества»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 Форма по ОКУД 0503296 «Сведения об исполнении судебн</w:t>
            </w:r>
            <w:r>
              <w:rPr>
                <w:i/>
                <w:iCs/>
                <w:color w:val="000000"/>
                <w:sz w:val="28"/>
                <w:szCs w:val="28"/>
              </w:rPr>
              <w:t>ых решений по денежным обязательствам бюджета».</w:t>
            </w:r>
          </w:p>
        </w:tc>
      </w:tr>
      <w:tr w:rsidR="00B53C0D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340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53C0D">
        <w:trPr>
          <w:trHeight w:val="1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C0D" w:rsidRDefault="00B53C0D">
            <w:pPr>
              <w:spacing w:line="1" w:lineRule="auto"/>
            </w:pPr>
          </w:p>
        </w:tc>
      </w:tr>
    </w:tbl>
    <w:p w:rsidR="00481DF3" w:rsidRDefault="00481DF3"/>
    <w:sectPr w:rsidR="00481DF3" w:rsidSect="008A33BE">
      <w:headerReference w:type="default" r:id="rId13"/>
      <w:footerReference w:type="default" r:id="rId14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15" w:rsidRDefault="00340D15" w:rsidP="00B53C0D">
      <w:r>
        <w:separator/>
      </w:r>
    </w:p>
  </w:endnote>
  <w:endnote w:type="continuationSeparator" w:id="1">
    <w:p w:rsidR="00340D15" w:rsidRDefault="00340D15" w:rsidP="00B5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53C0D">
      <w:trPr>
        <w:trHeight w:val="56"/>
      </w:trPr>
      <w:tc>
        <w:tcPr>
          <w:tcW w:w="10421" w:type="dxa"/>
        </w:tcPr>
        <w:p w:rsidR="00B53C0D" w:rsidRDefault="00B53C0D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53C0D">
      <w:trPr>
        <w:trHeight w:val="56"/>
      </w:trPr>
      <w:tc>
        <w:tcPr>
          <w:tcW w:w="10421" w:type="dxa"/>
        </w:tcPr>
        <w:p w:rsidR="00B53C0D" w:rsidRDefault="00B53C0D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53C0D">
      <w:trPr>
        <w:trHeight w:val="56"/>
      </w:trPr>
      <w:tc>
        <w:tcPr>
          <w:tcW w:w="10421" w:type="dxa"/>
        </w:tcPr>
        <w:p w:rsidR="00B53C0D" w:rsidRDefault="00B53C0D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53C0D">
      <w:trPr>
        <w:trHeight w:val="56"/>
      </w:trPr>
      <w:tc>
        <w:tcPr>
          <w:tcW w:w="10421" w:type="dxa"/>
        </w:tcPr>
        <w:p w:rsidR="00B53C0D" w:rsidRDefault="00B53C0D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15" w:rsidRDefault="00340D15" w:rsidP="00B53C0D">
      <w:r>
        <w:separator/>
      </w:r>
    </w:p>
  </w:footnote>
  <w:footnote w:type="continuationSeparator" w:id="1">
    <w:p w:rsidR="00340D15" w:rsidRDefault="00340D15" w:rsidP="00B53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53C0D">
      <w:trPr>
        <w:trHeight w:val="56"/>
      </w:trPr>
      <w:tc>
        <w:tcPr>
          <w:tcW w:w="10421" w:type="dxa"/>
        </w:tcPr>
        <w:p w:rsidR="00B53C0D" w:rsidRDefault="00B53C0D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53C0D">
      <w:trPr>
        <w:trHeight w:val="56"/>
      </w:trPr>
      <w:tc>
        <w:tcPr>
          <w:tcW w:w="10421" w:type="dxa"/>
        </w:tcPr>
        <w:p w:rsidR="00B53C0D" w:rsidRDefault="00B53C0D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53C0D">
      <w:trPr>
        <w:trHeight w:val="56"/>
      </w:trPr>
      <w:tc>
        <w:tcPr>
          <w:tcW w:w="10421" w:type="dxa"/>
        </w:tcPr>
        <w:p w:rsidR="00B53C0D" w:rsidRDefault="00B53C0D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53C0D">
      <w:trPr>
        <w:trHeight w:val="56"/>
      </w:trPr>
      <w:tc>
        <w:tcPr>
          <w:tcW w:w="10421" w:type="dxa"/>
        </w:tcPr>
        <w:p w:rsidR="00B53C0D" w:rsidRDefault="00B53C0D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C0D"/>
    <w:rsid w:val="002B542F"/>
    <w:rsid w:val="00340D15"/>
    <w:rsid w:val="00481DF3"/>
    <w:rsid w:val="007E6CD0"/>
    <w:rsid w:val="008A33BE"/>
    <w:rsid w:val="00B22C3C"/>
    <w:rsid w:val="00B53C0D"/>
    <w:rsid w:val="00E40978"/>
    <w:rsid w:val="00FE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E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3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kohan.na\Downloads\consultantplus:\offline\ref=3A9D6CE45D587EB6B6D805A4A7B2A05A55C5BB5A03F7DB7DC843B283F263025ABDE1580350CC539EBDB44AC6987E6D8E9E51AADC0E7B91ABrCs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5048</Words>
  <Characters>28776</Characters>
  <Application>Microsoft Office Word</Application>
  <DocSecurity>0</DocSecurity>
  <Lines>239</Lines>
  <Paragraphs>67</Paragraphs>
  <ScaleCrop>false</ScaleCrop>
  <Company/>
  <LinksUpToDate>false</LinksUpToDate>
  <CharactersWithSpaces>33757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 Наталья Анатольевна</dc:creator>
  <cp:lastModifiedBy>karamysheva.ea</cp:lastModifiedBy>
  <cp:revision>2</cp:revision>
  <dcterms:created xsi:type="dcterms:W3CDTF">2024-04-15T05:06:00Z</dcterms:created>
  <dcterms:modified xsi:type="dcterms:W3CDTF">2024-04-15T05:06:00Z</dcterms:modified>
</cp:coreProperties>
</file>